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3913" w14:textId="77777777" w:rsidR="00627892" w:rsidRPr="005D3955" w:rsidRDefault="00627892" w:rsidP="00627892">
      <w:pPr>
        <w:spacing w:after="0" w:line="360" w:lineRule="auto"/>
        <w:jc w:val="center"/>
        <w:rPr>
          <w:rFonts w:ascii="Book Antiqua" w:hAnsi="Book Antiqua" w:cs="Tahoma"/>
          <w:b/>
          <w:bCs/>
        </w:rPr>
      </w:pPr>
      <w:r w:rsidRPr="005D3955">
        <w:rPr>
          <w:rFonts w:ascii="Book Antiqua" w:hAnsi="Book Antiqua" w:cs="Tahoma"/>
          <w:b/>
          <w:bCs/>
          <w:noProof/>
          <w:lang w:eastAsia="el-GR"/>
        </w:rPr>
        <w:drawing>
          <wp:inline distT="0" distB="0" distL="0" distR="0" wp14:anchorId="2347A076" wp14:editId="0DE3A470">
            <wp:extent cx="1341755" cy="10382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z_pasok-kinima-allagi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52" cy="10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34A4" w14:textId="77777777" w:rsidR="00627892" w:rsidRPr="005D3955" w:rsidRDefault="00627892" w:rsidP="00627892">
      <w:pPr>
        <w:spacing w:after="0" w:line="360" w:lineRule="auto"/>
        <w:jc w:val="center"/>
        <w:rPr>
          <w:rFonts w:ascii="Book Antiqua" w:eastAsia="Trebuchet MS" w:hAnsi="Book Antiqua" w:cs="Tahoma"/>
          <w:b/>
          <w:bCs/>
        </w:rPr>
      </w:pPr>
      <w:r w:rsidRPr="005D3955">
        <w:rPr>
          <w:rFonts w:ascii="Book Antiqua" w:hAnsi="Book Antiqua" w:cs="Tahoma"/>
          <w:b/>
          <w:bCs/>
        </w:rPr>
        <w:t>ΚΟΙΝΟΒΟΥΛΕΥΤΙΚΗ ΟΜΑΔΑ</w:t>
      </w:r>
    </w:p>
    <w:p w14:paraId="242A4DE6" w14:textId="77777777" w:rsidR="00627892" w:rsidRPr="005D3955" w:rsidRDefault="00627892" w:rsidP="00627892">
      <w:pPr>
        <w:spacing w:after="0" w:line="360" w:lineRule="auto"/>
        <w:rPr>
          <w:rFonts w:ascii="Book Antiqua" w:eastAsia="Trebuchet MS" w:hAnsi="Book Antiqua" w:cs="Tahoma"/>
          <w:b/>
          <w:bCs/>
        </w:rPr>
      </w:pPr>
    </w:p>
    <w:p w14:paraId="05FB2DA0" w14:textId="19977EBE" w:rsidR="00627892" w:rsidRPr="00627892" w:rsidRDefault="002A3AFF" w:rsidP="00627892">
      <w:pPr>
        <w:spacing w:after="0" w:line="360" w:lineRule="auto"/>
        <w:ind w:left="5040" w:firstLine="720"/>
        <w:rPr>
          <w:rFonts w:ascii="Tahoma" w:eastAsia="Trebuchet MS" w:hAnsi="Tahoma" w:cs="Tahoma"/>
        </w:rPr>
      </w:pPr>
      <w:r>
        <w:rPr>
          <w:rFonts w:ascii="Tahoma" w:hAnsi="Tahoma" w:cs="Tahoma"/>
        </w:rPr>
        <w:t>Αθήνα, 17</w:t>
      </w:r>
      <w:r w:rsidR="00627892" w:rsidRPr="00627892">
        <w:rPr>
          <w:rFonts w:ascii="Tahoma" w:hAnsi="Tahoma" w:cs="Tahoma"/>
        </w:rPr>
        <w:t xml:space="preserve"> Απριλίου 2024</w:t>
      </w:r>
    </w:p>
    <w:p w14:paraId="10120807" w14:textId="77777777" w:rsidR="00627892" w:rsidRPr="00FB25D8" w:rsidRDefault="00627892" w:rsidP="00627892">
      <w:pPr>
        <w:spacing w:after="0" w:line="360" w:lineRule="auto"/>
        <w:jc w:val="center"/>
        <w:rPr>
          <w:rFonts w:ascii="Book Antiqua" w:hAnsi="Book Antiqua" w:cs="Arial"/>
          <w:b/>
          <w:u w:val="single"/>
        </w:rPr>
      </w:pPr>
    </w:p>
    <w:p w14:paraId="1ECAB12A" w14:textId="77777777" w:rsidR="00627892" w:rsidRPr="00627892" w:rsidRDefault="00627892" w:rsidP="00627892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627892">
        <w:rPr>
          <w:rFonts w:ascii="Tahoma" w:hAnsi="Tahoma" w:cs="Tahoma"/>
          <w:b/>
          <w:bCs/>
        </w:rPr>
        <w:t xml:space="preserve">ΤΡΟΠΟΛΟΓΙΑ </w:t>
      </w:r>
    </w:p>
    <w:p w14:paraId="60FB49B5" w14:textId="6ECEC34D" w:rsidR="00627892" w:rsidRDefault="00627892" w:rsidP="00627892">
      <w:pPr>
        <w:tabs>
          <w:tab w:val="left" w:pos="-567"/>
          <w:tab w:val="left" w:pos="-284"/>
        </w:tabs>
        <w:spacing w:line="360" w:lineRule="auto"/>
        <w:jc w:val="both"/>
        <w:rPr>
          <w:rFonts w:ascii="Tahoma" w:hAnsi="Tahoma" w:cs="Tahoma"/>
          <w:bCs/>
        </w:rPr>
      </w:pPr>
      <w:r w:rsidRPr="00627892">
        <w:rPr>
          <w:rFonts w:ascii="Tahoma" w:hAnsi="Tahoma" w:cs="Tahoma"/>
          <w:bCs/>
        </w:rPr>
        <w:t>στο σχέδιο νόμου του Υπουργείου Εθνικής Οικονομίας και Οικονομικών «</w:t>
      </w:r>
      <w:r w:rsidRPr="00627892">
        <w:rPr>
          <w:rFonts w:ascii="Tahoma" w:hAnsi="Tahoma" w:cs="Tahoma"/>
          <w:bCs/>
          <w:i/>
          <w:iCs/>
        </w:rPr>
        <w:t>Κώδικας Φορολογικής Διαδικασίας και άλλες διατάξεις</w:t>
      </w:r>
      <w:r>
        <w:rPr>
          <w:rFonts w:ascii="Tahoma" w:hAnsi="Tahoma" w:cs="Tahoma"/>
          <w:bCs/>
          <w:i/>
          <w:iCs/>
        </w:rPr>
        <w:t xml:space="preserve"> – Συνταξιοδοτική διάταξη</w:t>
      </w:r>
      <w:r w:rsidRPr="00627892">
        <w:rPr>
          <w:rFonts w:ascii="Tahoma" w:hAnsi="Tahoma" w:cs="Tahoma"/>
          <w:bCs/>
        </w:rPr>
        <w:t>»</w:t>
      </w:r>
    </w:p>
    <w:p w14:paraId="0D2764A0" w14:textId="77777777" w:rsidR="00627892" w:rsidRPr="00627892" w:rsidRDefault="00627892" w:rsidP="00627892">
      <w:pPr>
        <w:tabs>
          <w:tab w:val="left" w:pos="-567"/>
          <w:tab w:val="left" w:pos="-284"/>
        </w:tabs>
        <w:spacing w:line="360" w:lineRule="auto"/>
        <w:jc w:val="both"/>
        <w:rPr>
          <w:rFonts w:ascii="Tahoma" w:hAnsi="Tahoma" w:cs="Tahoma"/>
          <w:bCs/>
        </w:rPr>
      </w:pPr>
    </w:p>
    <w:p w14:paraId="73B4F419" w14:textId="5C890AE8" w:rsidR="00627892" w:rsidRPr="00A22DC9" w:rsidRDefault="00627892" w:rsidP="00627892">
      <w:pPr>
        <w:ind w:right="-5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ΘΕΜΑ: </w:t>
      </w:r>
      <w:r w:rsidRPr="00A22DC9">
        <w:rPr>
          <w:rFonts w:ascii="Tahoma" w:hAnsi="Tahoma" w:cs="Tahoma"/>
          <w:b/>
          <w:bCs/>
        </w:rPr>
        <w:t>«</w:t>
      </w:r>
      <w:r>
        <w:rPr>
          <w:rFonts w:ascii="Tahoma" w:hAnsi="Tahoma" w:cs="Tahoma"/>
          <w:b/>
          <w:bCs/>
        </w:rPr>
        <w:t>Προστασία της κύριας κατοικίας των οφειλετών που έχουν ενταχθεί στο Ν. 3869/2010 από τις αυξήσεις των επιτοκίων»</w:t>
      </w:r>
    </w:p>
    <w:p w14:paraId="61C28B53" w14:textId="77777777" w:rsidR="00627892" w:rsidRDefault="00627892" w:rsidP="00AF4FB1">
      <w:pPr>
        <w:ind w:left="142" w:right="-58"/>
        <w:jc w:val="center"/>
        <w:rPr>
          <w:rFonts w:ascii="Tahoma" w:hAnsi="Tahoma" w:cs="Tahoma"/>
        </w:rPr>
      </w:pPr>
    </w:p>
    <w:p w14:paraId="33B19AF8" w14:textId="77777777" w:rsidR="007C72B4" w:rsidRPr="00A22DC9" w:rsidRDefault="007C72B4" w:rsidP="00AF4FB1">
      <w:pPr>
        <w:ind w:left="142" w:right="-58"/>
        <w:jc w:val="center"/>
        <w:rPr>
          <w:rFonts w:ascii="Tahoma" w:hAnsi="Tahoma" w:cs="Tahoma"/>
          <w:b/>
          <w:bCs/>
        </w:rPr>
      </w:pPr>
      <w:r w:rsidRPr="00A22DC9">
        <w:rPr>
          <w:rFonts w:ascii="Tahoma" w:hAnsi="Tahoma" w:cs="Tahoma"/>
          <w:b/>
          <w:bCs/>
        </w:rPr>
        <w:t>Αιτιολογική Έκθεση</w:t>
      </w:r>
    </w:p>
    <w:p w14:paraId="10FA7371" w14:textId="72FF7DCE" w:rsidR="00B9513F" w:rsidRDefault="00B20516" w:rsidP="00FF04D3">
      <w:pPr>
        <w:ind w:right="-5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Οι </w:t>
      </w:r>
      <w:r w:rsidR="006E7058">
        <w:rPr>
          <w:rFonts w:ascii="Tahoma" w:hAnsi="Tahoma" w:cs="Tahoma"/>
        </w:rPr>
        <w:t xml:space="preserve">υπερχρεωμένοι </w:t>
      </w:r>
      <w:r>
        <w:rPr>
          <w:rFonts w:ascii="Tahoma" w:hAnsi="Tahoma" w:cs="Tahoma"/>
        </w:rPr>
        <w:t xml:space="preserve">δανειολήπτες </w:t>
      </w:r>
      <w:r w:rsidR="006E7058">
        <w:rPr>
          <w:rFonts w:ascii="Tahoma" w:hAnsi="Tahoma" w:cs="Tahoma"/>
        </w:rPr>
        <w:t>που με  δικαστικές αποφά</w:t>
      </w:r>
      <w:r w:rsidR="0015674E">
        <w:rPr>
          <w:rFonts w:ascii="Tahoma" w:hAnsi="Tahoma" w:cs="Tahoma"/>
        </w:rPr>
        <w:t>σεις εντάχθηκαν στο Νόμο 3869/2010 της κυβέρνησης του ΠΑΣΟΚ</w:t>
      </w:r>
      <w:r w:rsidR="006E7058">
        <w:rPr>
          <w:rFonts w:ascii="Tahoma" w:hAnsi="Tahoma" w:cs="Tahoma"/>
        </w:rPr>
        <w:t xml:space="preserve">, ώστε να διασώσουν την κατοικία τους, αντιμετωπίζουν και πάλι ένα μεγάλο κίνδυνο για την απώλειά της. Οι δόσεις που τα Δικαστήρια έχουν  ορίσει για  </w:t>
      </w:r>
      <w:r w:rsidR="00727589">
        <w:rPr>
          <w:rFonts w:ascii="Tahoma" w:hAnsi="Tahoma" w:cs="Tahoma"/>
        </w:rPr>
        <w:t xml:space="preserve">τη ρύθμιση του ποσού που αφορά την προστασία </w:t>
      </w:r>
      <w:r w:rsidR="006E7058">
        <w:rPr>
          <w:rFonts w:ascii="Tahoma" w:hAnsi="Tahoma" w:cs="Tahoma"/>
        </w:rPr>
        <w:t xml:space="preserve"> της κατοικίας τους, στις περιπτώσεις που το επιτόκιο </w:t>
      </w:r>
      <w:r w:rsidR="00727589">
        <w:rPr>
          <w:rFonts w:ascii="Tahoma" w:hAnsi="Tahoma" w:cs="Tahoma"/>
        </w:rPr>
        <w:t xml:space="preserve">της ρύθμισης </w:t>
      </w:r>
      <w:r w:rsidR="006E7058">
        <w:rPr>
          <w:rFonts w:ascii="Tahoma" w:hAnsi="Tahoma" w:cs="Tahoma"/>
        </w:rPr>
        <w:t xml:space="preserve">είχε οριστεί κυμαινόμενο,  έχουν καταστεί υπέρογκες αφού τα επιτόκια </w:t>
      </w:r>
      <w:r w:rsidR="00727589">
        <w:rPr>
          <w:rFonts w:ascii="Tahoma" w:hAnsi="Tahoma" w:cs="Tahoma"/>
        </w:rPr>
        <w:t xml:space="preserve">αυτά </w:t>
      </w:r>
      <w:r w:rsidR="00C65AD8">
        <w:rPr>
          <w:rFonts w:ascii="Tahoma" w:hAnsi="Tahoma" w:cs="Tahoma"/>
        </w:rPr>
        <w:t xml:space="preserve"> </w:t>
      </w:r>
      <w:r w:rsidR="006E7058">
        <w:rPr>
          <w:rFonts w:ascii="Tahoma" w:hAnsi="Tahoma" w:cs="Tahoma"/>
        </w:rPr>
        <w:t>έχουν ανέβει τους τελευταίους 1</w:t>
      </w:r>
      <w:r w:rsidR="00727589">
        <w:rPr>
          <w:rFonts w:ascii="Tahoma" w:hAnsi="Tahoma" w:cs="Tahoma"/>
        </w:rPr>
        <w:t>6</w:t>
      </w:r>
      <w:r w:rsidR="006E7058">
        <w:rPr>
          <w:rFonts w:ascii="Tahoma" w:hAnsi="Tahoma" w:cs="Tahoma"/>
        </w:rPr>
        <w:t xml:space="preserve"> μήνες κατά 4,50 ποσοστιαίες μονάδες. </w:t>
      </w:r>
      <w:r w:rsidR="00727589">
        <w:rPr>
          <w:rFonts w:ascii="Tahoma" w:hAnsi="Tahoma" w:cs="Tahoma"/>
        </w:rPr>
        <w:t>Η αύξηση αυτή γίνεται</w:t>
      </w:r>
      <w:r w:rsidR="002E6042">
        <w:rPr>
          <w:rFonts w:ascii="Tahoma" w:hAnsi="Tahoma" w:cs="Tahoma"/>
        </w:rPr>
        <w:t xml:space="preserve"> εξαιτίας της συνεχούς και ραγδαίας ανόδου των επιτοκίων της Ευρωπαϊκής Κεντρικής Τράπεζας</w:t>
      </w:r>
      <w:r w:rsidR="00126889">
        <w:rPr>
          <w:rFonts w:ascii="Tahoma" w:hAnsi="Tahoma" w:cs="Tahoma"/>
        </w:rPr>
        <w:t xml:space="preserve"> από τα μέσα του 2022 και μετά άνοδος</w:t>
      </w:r>
      <w:r w:rsidR="002E6042">
        <w:rPr>
          <w:rFonts w:ascii="Tahoma" w:hAnsi="Tahoma" w:cs="Tahoma"/>
        </w:rPr>
        <w:t xml:space="preserve">, η οποία, στην έκταση που αυτή έλαβε χώρα, ήταν κατά το χρόνο έκδοσης των αποφάσεων,  ένα  απρόβλεπτο γεγονός. Έτσι, ενώ </w:t>
      </w:r>
      <w:r w:rsidR="00126889">
        <w:rPr>
          <w:rFonts w:ascii="Tahoma" w:hAnsi="Tahoma" w:cs="Tahoma"/>
        </w:rPr>
        <w:t xml:space="preserve">στις δικαστικές ρυθμίσεις </w:t>
      </w:r>
      <w:r w:rsidR="002E6042">
        <w:rPr>
          <w:rFonts w:ascii="Tahoma" w:hAnsi="Tahoma" w:cs="Tahoma"/>
        </w:rPr>
        <w:t xml:space="preserve">ο καθορισμός κυμαινόμενου επιτοκίου στην εποχή που τα επιτόκια της ΕΚΤ ήταν μηδενικά, σκοπό είχε να διευκολύνει </w:t>
      </w:r>
      <w:r w:rsidR="00371183">
        <w:rPr>
          <w:rFonts w:ascii="Tahoma" w:hAnsi="Tahoma" w:cs="Tahoma"/>
        </w:rPr>
        <w:t>την αποπληρωμή της οφειλής</w:t>
      </w:r>
      <w:r w:rsidR="00727589">
        <w:rPr>
          <w:rFonts w:ascii="Tahoma" w:hAnsi="Tahoma" w:cs="Tahoma"/>
        </w:rPr>
        <w:t xml:space="preserve"> από τον δανειολήπτη</w:t>
      </w:r>
      <w:r w:rsidR="002A3BDA">
        <w:rPr>
          <w:rFonts w:ascii="Tahoma" w:hAnsi="Tahoma" w:cs="Tahoma"/>
        </w:rPr>
        <w:t>, πλέον καθιστά εξαιρετικά δ</w:t>
      </w:r>
      <w:r w:rsidR="00371183">
        <w:rPr>
          <w:rFonts w:ascii="Tahoma" w:hAnsi="Tahoma" w:cs="Tahoma"/>
        </w:rPr>
        <w:t>υσχερή</w:t>
      </w:r>
      <w:r w:rsidR="00126889">
        <w:rPr>
          <w:rFonts w:ascii="Tahoma" w:hAnsi="Tahoma" w:cs="Tahoma"/>
        </w:rPr>
        <w:t xml:space="preserve">, αν όχι αδύνατη, </w:t>
      </w:r>
      <w:r w:rsidR="00371183">
        <w:rPr>
          <w:rFonts w:ascii="Tahoma" w:hAnsi="Tahoma" w:cs="Tahoma"/>
        </w:rPr>
        <w:t>την τήρηση της ρύθμισης</w:t>
      </w:r>
      <w:r w:rsidR="002A3BDA">
        <w:rPr>
          <w:rFonts w:ascii="Tahoma" w:hAnsi="Tahoma" w:cs="Tahoma"/>
        </w:rPr>
        <w:t xml:space="preserve">. </w:t>
      </w:r>
      <w:r w:rsidR="002E6042">
        <w:rPr>
          <w:rFonts w:ascii="Tahoma" w:hAnsi="Tahoma" w:cs="Tahoma"/>
        </w:rPr>
        <w:t xml:space="preserve"> </w:t>
      </w:r>
      <w:r w:rsidR="006E7058">
        <w:rPr>
          <w:rFonts w:ascii="Tahoma" w:hAnsi="Tahoma" w:cs="Tahoma"/>
        </w:rPr>
        <w:t xml:space="preserve">Οι δανειολήπτες αυτοί είναι, εξάλλου, αποκλεισμένοι από κάθε πρόγραμμα για συγκράτηση των αυξήσεων </w:t>
      </w:r>
      <w:r w:rsidR="00FF04D3">
        <w:rPr>
          <w:rFonts w:ascii="Tahoma" w:hAnsi="Tahoma" w:cs="Tahoma"/>
        </w:rPr>
        <w:t>τ</w:t>
      </w:r>
      <w:r w:rsidR="00126889">
        <w:rPr>
          <w:rFonts w:ascii="Tahoma" w:hAnsi="Tahoma" w:cs="Tahoma"/>
        </w:rPr>
        <w:t>ων</w:t>
      </w:r>
      <w:r w:rsidR="00FF04D3">
        <w:rPr>
          <w:rFonts w:ascii="Tahoma" w:hAnsi="Tahoma" w:cs="Tahoma"/>
        </w:rPr>
        <w:t xml:space="preserve"> επιτοκί</w:t>
      </w:r>
      <w:r w:rsidR="00126889">
        <w:rPr>
          <w:rFonts w:ascii="Tahoma" w:hAnsi="Tahoma" w:cs="Tahoma"/>
        </w:rPr>
        <w:t>ων</w:t>
      </w:r>
      <w:r w:rsidR="00FF04D3">
        <w:rPr>
          <w:rFonts w:ascii="Tahoma" w:hAnsi="Tahoma" w:cs="Tahoma"/>
        </w:rPr>
        <w:t xml:space="preserve">. </w:t>
      </w:r>
      <w:r w:rsidR="006E7058">
        <w:rPr>
          <w:rFonts w:ascii="Tahoma" w:hAnsi="Tahoma" w:cs="Tahoma"/>
        </w:rPr>
        <w:t xml:space="preserve"> </w:t>
      </w:r>
      <w:r w:rsidR="00C65AD8">
        <w:rPr>
          <w:rFonts w:ascii="Tahoma" w:hAnsi="Tahoma" w:cs="Tahoma"/>
        </w:rPr>
        <w:t xml:space="preserve">Οι ίδιοι, μετά το μακρόχρονο δικαστικό τους αγώνα για την ένταξή τους στο νόμο </w:t>
      </w:r>
      <w:r w:rsidR="00002085">
        <w:rPr>
          <w:rFonts w:ascii="Tahoma" w:hAnsi="Tahoma" w:cs="Tahoma"/>
        </w:rPr>
        <w:t>3869/2010</w:t>
      </w:r>
      <w:r w:rsidR="00C65AD8">
        <w:rPr>
          <w:rFonts w:ascii="Tahoma" w:hAnsi="Tahoma" w:cs="Tahoma"/>
        </w:rPr>
        <w:t xml:space="preserve">,  δεν έχουν </w:t>
      </w:r>
      <w:r w:rsidR="00F63732">
        <w:rPr>
          <w:rFonts w:ascii="Tahoma" w:hAnsi="Tahoma" w:cs="Tahoma"/>
        </w:rPr>
        <w:t>πια</w:t>
      </w:r>
      <w:r w:rsidR="002E6042">
        <w:rPr>
          <w:rFonts w:ascii="Tahoma" w:hAnsi="Tahoma" w:cs="Tahoma"/>
        </w:rPr>
        <w:t xml:space="preserve"> </w:t>
      </w:r>
      <w:r w:rsidR="00C65AD8">
        <w:rPr>
          <w:rFonts w:ascii="Tahoma" w:hAnsi="Tahoma" w:cs="Tahoma"/>
        </w:rPr>
        <w:t xml:space="preserve">την οικονομική δυνατότητα να προσφύγουν </w:t>
      </w:r>
      <w:r w:rsidR="00933F40">
        <w:rPr>
          <w:rFonts w:ascii="Tahoma" w:hAnsi="Tahoma" w:cs="Tahoma"/>
        </w:rPr>
        <w:t xml:space="preserve">και πάλι στη Δικαιοσύνη, </w:t>
      </w:r>
      <w:r w:rsidR="00C65AD8">
        <w:rPr>
          <w:rFonts w:ascii="Tahoma" w:hAnsi="Tahoma" w:cs="Tahoma"/>
        </w:rPr>
        <w:t>ώστε να επιτύχουν μείωση της δόσης τους. Αλλά και όσοι το επιχειρούν οι διαδικασίες αποδεικνύονται χρονοβόρες και επίπονες</w:t>
      </w:r>
      <w:r w:rsidR="002A3BDA">
        <w:rPr>
          <w:rFonts w:ascii="Tahoma" w:hAnsi="Tahoma" w:cs="Tahoma"/>
        </w:rPr>
        <w:t>, με την ανασφάλεια να κυριαρχεί</w:t>
      </w:r>
      <w:r w:rsidR="00C65AD8">
        <w:rPr>
          <w:rFonts w:ascii="Tahoma" w:hAnsi="Tahoma" w:cs="Tahoma"/>
        </w:rPr>
        <w:t>. Είναι</w:t>
      </w:r>
      <w:r w:rsidR="00727589">
        <w:rPr>
          <w:rFonts w:ascii="Tahoma" w:hAnsi="Tahoma" w:cs="Tahoma"/>
        </w:rPr>
        <w:t xml:space="preserve">, ωστόσο, </w:t>
      </w:r>
      <w:r w:rsidR="00C65AD8">
        <w:rPr>
          <w:rFonts w:ascii="Tahoma" w:hAnsi="Tahoma" w:cs="Tahoma"/>
        </w:rPr>
        <w:t xml:space="preserve"> α</w:t>
      </w:r>
      <w:r w:rsidR="002E6042">
        <w:rPr>
          <w:rFonts w:ascii="Tahoma" w:hAnsi="Tahoma" w:cs="Tahoma"/>
        </w:rPr>
        <w:t>δικαιολόγητο</w:t>
      </w:r>
      <w:r w:rsidR="00C65AD8">
        <w:rPr>
          <w:rFonts w:ascii="Tahoma" w:hAnsi="Tahoma" w:cs="Tahoma"/>
        </w:rPr>
        <w:t xml:space="preserve">  νοικοκυριά, των οποίων η </w:t>
      </w:r>
      <w:r w:rsidR="002E6042">
        <w:rPr>
          <w:rFonts w:ascii="Tahoma" w:hAnsi="Tahoma" w:cs="Tahoma"/>
        </w:rPr>
        <w:t xml:space="preserve">μόνιμη </w:t>
      </w:r>
      <w:r w:rsidR="00C65AD8">
        <w:rPr>
          <w:rFonts w:ascii="Tahoma" w:hAnsi="Tahoma" w:cs="Tahoma"/>
        </w:rPr>
        <w:t xml:space="preserve">αδυναμία για την εξυπηρέτηση των χρεών τους και το δικαίωμα στη δεύτερη ευκαιρία αναγνωρίστηκαν με τελεσίδικες δικαστικές αποφάσεις, να υποχρεώνονται να καταβάλλουν υπέρογκες </w:t>
      </w:r>
      <w:r w:rsidR="00C65AD8">
        <w:rPr>
          <w:rFonts w:ascii="Tahoma" w:hAnsi="Tahoma" w:cs="Tahoma"/>
        </w:rPr>
        <w:lastRenderedPageBreak/>
        <w:t>δόσεις προκειμένου να διασώσουν την κατο</w:t>
      </w:r>
      <w:r w:rsidR="002E6042">
        <w:rPr>
          <w:rFonts w:ascii="Tahoma" w:hAnsi="Tahoma" w:cs="Tahoma"/>
        </w:rPr>
        <w:t xml:space="preserve">ικία  τους. Τούτο δε μάλιστα, όταν οι τράπεζες εξακολουθούν να αντλούν τεράστια κέρδη, </w:t>
      </w:r>
      <w:r w:rsidR="00F63732">
        <w:rPr>
          <w:rFonts w:ascii="Tahoma" w:hAnsi="Tahoma" w:cs="Tahoma"/>
        </w:rPr>
        <w:t xml:space="preserve">κρατώντας για τις ίδιες το κόστος του χρήματος σε ασήμαντα επίπεδα και </w:t>
      </w:r>
      <w:r w:rsidR="002E6042">
        <w:rPr>
          <w:rFonts w:ascii="Tahoma" w:hAnsi="Tahoma" w:cs="Tahoma"/>
        </w:rPr>
        <w:t xml:space="preserve">αυξάνοντας συνεχώς τη ψαλίδα ανάμεσα στα επιτόκια καταθέσεων και </w:t>
      </w:r>
      <w:r w:rsidR="00F63732">
        <w:rPr>
          <w:rFonts w:ascii="Tahoma" w:hAnsi="Tahoma" w:cs="Tahoma"/>
        </w:rPr>
        <w:t xml:space="preserve">επιτόκια </w:t>
      </w:r>
      <w:r w:rsidR="002E6042">
        <w:rPr>
          <w:rFonts w:ascii="Tahoma" w:hAnsi="Tahoma" w:cs="Tahoma"/>
        </w:rPr>
        <w:t>χορηγήσεων.</w:t>
      </w:r>
    </w:p>
    <w:p w14:paraId="5FE6A834" w14:textId="306EF475" w:rsidR="002E6042" w:rsidRDefault="002E6042" w:rsidP="00FF04D3">
      <w:pPr>
        <w:ind w:right="-5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Με την προτεινόμενη τροπολογία, θεσπίζεται ανώτατο όριο ως προς το επιτόκιο, με το οποίο θα </w:t>
      </w:r>
      <w:proofErr w:type="spellStart"/>
      <w:r>
        <w:rPr>
          <w:rFonts w:ascii="Tahoma" w:hAnsi="Tahoma" w:cs="Tahoma"/>
        </w:rPr>
        <w:t>εκτοκίζεται</w:t>
      </w:r>
      <w:proofErr w:type="spellEnd"/>
      <w:r>
        <w:rPr>
          <w:rFonts w:ascii="Tahoma" w:hAnsi="Tahoma" w:cs="Tahoma"/>
        </w:rPr>
        <w:t xml:space="preserve"> η ρύθμιση για την προστασία της κατοικίας  που έχει οριστεί </w:t>
      </w:r>
      <w:r w:rsidR="002A3BDA">
        <w:rPr>
          <w:rFonts w:ascii="Tahoma" w:hAnsi="Tahoma" w:cs="Tahoma"/>
        </w:rPr>
        <w:t>με τη δικαστική απόφαση. Το όριο αυτό ορίζεται στο 2% και θα εφαρμόζεται, εφόσον, ασφαλώς,  με τη δικαστική ρύθμιση δεν προκύπτει, λ.χ. εξαιτίας της εφαρμογής σταθερού επιτοκίου</w:t>
      </w:r>
      <w:r w:rsidR="002B57CB">
        <w:rPr>
          <w:rFonts w:ascii="Tahoma" w:hAnsi="Tahoma" w:cs="Tahoma"/>
        </w:rPr>
        <w:t xml:space="preserve"> ή, όπως αυτή εφαρμόζεται</w:t>
      </w:r>
      <w:r w:rsidR="002A3BDA">
        <w:rPr>
          <w:rFonts w:ascii="Tahoma" w:hAnsi="Tahoma" w:cs="Tahoma"/>
        </w:rPr>
        <w:t xml:space="preserve">, </w:t>
      </w:r>
      <w:r w:rsidR="002B57CB">
        <w:rPr>
          <w:rFonts w:ascii="Tahoma" w:hAnsi="Tahoma" w:cs="Tahoma"/>
        </w:rPr>
        <w:t>μικρότερη για τον δανειολήπτη δόση</w:t>
      </w:r>
      <w:r w:rsidR="002A3BDA">
        <w:rPr>
          <w:rFonts w:ascii="Tahoma" w:hAnsi="Tahoma" w:cs="Tahoma"/>
        </w:rPr>
        <w:t>. Η διάταξη εφαρμόζεται αναδρομικά από 1.1.2023, ώστε να αντιμετωπιστούν τα προβλήματα αδυναμίας που έχουν ήδη προκληθε</w:t>
      </w:r>
      <w:r w:rsidR="00727589">
        <w:rPr>
          <w:rFonts w:ascii="Tahoma" w:hAnsi="Tahoma" w:cs="Tahoma"/>
        </w:rPr>
        <w:t xml:space="preserve">ί. Οι δε </w:t>
      </w:r>
      <w:r w:rsidR="002A3BDA">
        <w:rPr>
          <w:rFonts w:ascii="Tahoma" w:hAnsi="Tahoma" w:cs="Tahoma"/>
        </w:rPr>
        <w:t xml:space="preserve">καταγγελίες των ρυθμίσεων </w:t>
      </w:r>
      <w:r w:rsidR="00727589">
        <w:rPr>
          <w:rFonts w:ascii="Tahoma" w:hAnsi="Tahoma" w:cs="Tahoma"/>
        </w:rPr>
        <w:t xml:space="preserve">για την προστασία της κύριας </w:t>
      </w:r>
      <w:r w:rsidR="00126889">
        <w:rPr>
          <w:rFonts w:ascii="Tahoma" w:hAnsi="Tahoma" w:cs="Tahoma"/>
        </w:rPr>
        <w:t xml:space="preserve">κατοικίας </w:t>
      </w:r>
      <w:r w:rsidR="002A3BDA">
        <w:rPr>
          <w:rFonts w:ascii="Tahoma" w:hAnsi="Tahoma" w:cs="Tahoma"/>
        </w:rPr>
        <w:t>εξαιτίας της αδυναμίας των νοικοκυριών να καταβάλλουν την υψηλότερη δόση</w:t>
      </w:r>
      <w:r w:rsidR="00727589">
        <w:rPr>
          <w:rFonts w:ascii="Tahoma" w:hAnsi="Tahoma" w:cs="Tahoma"/>
        </w:rPr>
        <w:t xml:space="preserve"> καθίστανται ανίσχυρες.</w:t>
      </w:r>
    </w:p>
    <w:p w14:paraId="13EE124E" w14:textId="121667F8" w:rsidR="00A274D3" w:rsidRDefault="00A274D3" w:rsidP="008C32B7">
      <w:pPr>
        <w:ind w:right="-58"/>
        <w:jc w:val="both"/>
        <w:rPr>
          <w:rFonts w:ascii="Arial" w:hAnsi="Arial" w:cs="Arial"/>
        </w:rPr>
      </w:pPr>
    </w:p>
    <w:p w14:paraId="7BF6FA34" w14:textId="77777777" w:rsidR="00627892" w:rsidRPr="00627892" w:rsidRDefault="00627892" w:rsidP="00627892">
      <w:pPr>
        <w:spacing w:after="160" w:line="360" w:lineRule="auto"/>
        <w:ind w:left="142" w:right="-58"/>
        <w:jc w:val="center"/>
        <w:rPr>
          <w:rFonts w:ascii="Tahoma" w:eastAsia="Calibri" w:hAnsi="Tahoma" w:cs="Tahoma"/>
          <w:b/>
          <w:i/>
          <w:iCs/>
          <w:kern w:val="2"/>
          <w14:ligatures w14:val="standardContextual"/>
        </w:rPr>
      </w:pPr>
      <w:r w:rsidRPr="00627892">
        <w:rPr>
          <w:rFonts w:ascii="Tahoma" w:eastAsia="Calibri" w:hAnsi="Tahoma" w:cs="Tahoma"/>
          <w:b/>
          <w:i/>
          <w:iCs/>
          <w:kern w:val="2"/>
          <w14:ligatures w14:val="standardContextual"/>
        </w:rPr>
        <w:t>ΤΡΟΠΟΛΟΓΙΑ - ΠΡΟΣΘΗΚΗ</w:t>
      </w:r>
    </w:p>
    <w:p w14:paraId="5849E675" w14:textId="77777777" w:rsidR="00627892" w:rsidRPr="00627892" w:rsidRDefault="00627892" w:rsidP="00627892">
      <w:pPr>
        <w:tabs>
          <w:tab w:val="left" w:pos="-567"/>
          <w:tab w:val="left" w:pos="-284"/>
        </w:tabs>
        <w:spacing w:line="360" w:lineRule="auto"/>
        <w:jc w:val="both"/>
        <w:rPr>
          <w:rFonts w:ascii="Tahoma" w:hAnsi="Tahoma" w:cs="Tahoma"/>
          <w:bCs/>
        </w:rPr>
      </w:pPr>
      <w:r w:rsidRPr="00627892">
        <w:rPr>
          <w:rFonts w:ascii="Tahoma" w:hAnsi="Tahoma" w:cs="Tahoma"/>
          <w:bCs/>
        </w:rPr>
        <w:t>στο σχέδιο νόμου του Υπουργείου Εθνικής Οικονομίας και Οικονομικών «</w:t>
      </w:r>
      <w:r w:rsidRPr="00627892">
        <w:rPr>
          <w:rFonts w:ascii="Tahoma" w:hAnsi="Tahoma" w:cs="Tahoma"/>
          <w:bCs/>
          <w:i/>
          <w:iCs/>
        </w:rPr>
        <w:t>Κώδικας Φορολογικής Διαδικασίας και άλλες διατάξεις</w:t>
      </w:r>
      <w:r>
        <w:rPr>
          <w:rFonts w:ascii="Tahoma" w:hAnsi="Tahoma" w:cs="Tahoma"/>
          <w:bCs/>
          <w:i/>
          <w:iCs/>
        </w:rPr>
        <w:t xml:space="preserve"> – Συνταξιοδοτική διάταξη</w:t>
      </w:r>
      <w:r w:rsidRPr="00627892">
        <w:rPr>
          <w:rFonts w:ascii="Tahoma" w:hAnsi="Tahoma" w:cs="Tahoma"/>
          <w:bCs/>
        </w:rPr>
        <w:t>»</w:t>
      </w:r>
    </w:p>
    <w:p w14:paraId="0D143AF8" w14:textId="0442C141" w:rsidR="008C32B7" w:rsidRPr="00C22423" w:rsidRDefault="008C32B7" w:rsidP="00C22423">
      <w:pPr>
        <w:ind w:right="-58"/>
        <w:jc w:val="both"/>
        <w:rPr>
          <w:rFonts w:ascii="Tahoma" w:hAnsi="Tahoma" w:cs="Tahoma"/>
        </w:rPr>
      </w:pPr>
    </w:p>
    <w:p w14:paraId="5A427EB6" w14:textId="2D19B447" w:rsidR="002545B0" w:rsidRDefault="002545B0" w:rsidP="00AF4FB1">
      <w:pPr>
        <w:ind w:left="142" w:right="-58"/>
        <w:jc w:val="center"/>
        <w:rPr>
          <w:rFonts w:ascii="Tahoma" w:hAnsi="Tahoma" w:cs="Tahoma"/>
          <w:b/>
          <w:bCs/>
        </w:rPr>
      </w:pPr>
      <w:r w:rsidRPr="00A22DC9">
        <w:rPr>
          <w:rFonts w:ascii="Tahoma" w:hAnsi="Tahoma" w:cs="Tahoma"/>
          <w:b/>
          <w:bCs/>
        </w:rPr>
        <w:t>Άρθρο</w:t>
      </w:r>
      <w:r w:rsidR="00984564" w:rsidRPr="00A22DC9">
        <w:rPr>
          <w:rFonts w:ascii="Tahoma" w:hAnsi="Tahoma" w:cs="Tahoma"/>
          <w:b/>
          <w:bCs/>
        </w:rPr>
        <w:t xml:space="preserve"> …</w:t>
      </w:r>
    </w:p>
    <w:p w14:paraId="3711ECFD" w14:textId="6F3C759D" w:rsidR="006D6265" w:rsidRPr="006D6265" w:rsidRDefault="006D6265" w:rsidP="006D6265">
      <w:pPr>
        <w:ind w:right="-58"/>
        <w:rPr>
          <w:rFonts w:ascii="Tahoma" w:hAnsi="Tahoma" w:cs="Tahoma"/>
        </w:rPr>
      </w:pPr>
      <w:r w:rsidRPr="006D6265">
        <w:rPr>
          <w:rFonts w:ascii="Tahoma" w:hAnsi="Tahoma" w:cs="Tahoma"/>
        </w:rPr>
        <w:t>Στο τέλος του άρθρου 100 του Σχεδίου Νόμου  «κώδικας Φορολογικής Διαδικασίας</w:t>
      </w:r>
      <w:r>
        <w:rPr>
          <w:rFonts w:ascii="Tahoma" w:hAnsi="Tahoma" w:cs="Tahoma"/>
        </w:rPr>
        <w:t xml:space="preserve"> </w:t>
      </w:r>
      <w:r w:rsidRPr="006D6265">
        <w:rPr>
          <w:rFonts w:ascii="Tahoma" w:hAnsi="Tahoma" w:cs="Tahoma"/>
        </w:rPr>
        <w:t xml:space="preserve">και άλλες διατάξεις» προστίθεται  παράγραφος 5 που </w:t>
      </w:r>
      <w:r w:rsidR="00430B69">
        <w:rPr>
          <w:rFonts w:ascii="Tahoma" w:hAnsi="Tahoma" w:cs="Tahoma"/>
        </w:rPr>
        <w:t>έχ</w:t>
      </w:r>
      <w:r w:rsidRPr="006D6265">
        <w:rPr>
          <w:rFonts w:ascii="Tahoma" w:hAnsi="Tahoma" w:cs="Tahoma"/>
        </w:rPr>
        <w:t>ει ως εξής:</w:t>
      </w:r>
    </w:p>
    <w:p w14:paraId="611CBE0B" w14:textId="77777777" w:rsidR="006D6265" w:rsidRPr="00A22DC9" w:rsidRDefault="006D6265" w:rsidP="006D6265">
      <w:pPr>
        <w:ind w:left="142" w:right="-58"/>
        <w:rPr>
          <w:rFonts w:ascii="Tahoma" w:hAnsi="Tahoma" w:cs="Tahoma"/>
          <w:b/>
          <w:bCs/>
        </w:rPr>
      </w:pPr>
    </w:p>
    <w:p w14:paraId="6167F73F" w14:textId="7EBBFA95" w:rsidR="002B57CB" w:rsidRPr="007E18BF" w:rsidRDefault="006D6265" w:rsidP="00A22DC9">
      <w:pPr>
        <w:ind w:right="-5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«5. </w:t>
      </w:r>
      <w:r w:rsidR="002B57CB" w:rsidRPr="007E18BF">
        <w:rPr>
          <w:rFonts w:ascii="Tahoma" w:hAnsi="Tahoma" w:cs="Tahoma"/>
        </w:rPr>
        <w:t>Το εφαρμοζόμεν</w:t>
      </w:r>
      <w:r w:rsidR="007E18BF">
        <w:rPr>
          <w:rFonts w:ascii="Tahoma" w:hAnsi="Tahoma" w:cs="Tahoma"/>
        </w:rPr>
        <w:t xml:space="preserve">ο </w:t>
      </w:r>
      <w:r w:rsidR="002B57CB" w:rsidRPr="007E18BF">
        <w:rPr>
          <w:rFonts w:ascii="Tahoma" w:hAnsi="Tahoma" w:cs="Tahoma"/>
        </w:rPr>
        <w:t xml:space="preserve">επιτόκιο </w:t>
      </w:r>
      <w:r w:rsidR="007E18BF">
        <w:rPr>
          <w:rFonts w:ascii="Tahoma" w:hAnsi="Tahoma" w:cs="Tahoma"/>
        </w:rPr>
        <w:t xml:space="preserve">του ποσού </w:t>
      </w:r>
      <w:r w:rsidR="002B57CB" w:rsidRPr="007E18BF">
        <w:rPr>
          <w:rFonts w:ascii="Tahoma" w:hAnsi="Tahoma" w:cs="Tahoma"/>
        </w:rPr>
        <w:t xml:space="preserve">ρύθμισης για την </w:t>
      </w:r>
      <w:r w:rsidR="007E18BF" w:rsidRPr="007E18BF">
        <w:rPr>
          <w:rFonts w:ascii="Tahoma" w:hAnsi="Tahoma" w:cs="Tahoma"/>
        </w:rPr>
        <w:t xml:space="preserve">εξαίρεση της </w:t>
      </w:r>
      <w:r w:rsidR="002B57CB" w:rsidRPr="007E18BF">
        <w:rPr>
          <w:rFonts w:ascii="Tahoma" w:hAnsi="Tahoma" w:cs="Tahoma"/>
        </w:rPr>
        <w:t xml:space="preserve"> κύριας κατοικίας</w:t>
      </w:r>
      <w:r w:rsidR="007E18BF" w:rsidRPr="007E18BF">
        <w:rPr>
          <w:rFonts w:ascii="Tahoma" w:hAnsi="Tahoma" w:cs="Tahoma"/>
        </w:rPr>
        <w:t xml:space="preserve"> από τη ρευστοποίηση </w:t>
      </w:r>
      <w:r w:rsidR="007E18BF">
        <w:rPr>
          <w:rFonts w:ascii="Tahoma" w:hAnsi="Tahoma" w:cs="Tahoma"/>
        </w:rPr>
        <w:t>της περιουσίας του οφειλέτη που έχει οριστεί</w:t>
      </w:r>
      <w:r w:rsidR="00AA5DDA" w:rsidRPr="00AA5DDA">
        <w:rPr>
          <w:rFonts w:ascii="Tahoma" w:hAnsi="Tahoma" w:cs="Tahoma"/>
        </w:rPr>
        <w:t xml:space="preserve"> </w:t>
      </w:r>
      <w:r w:rsidR="00AA5DDA">
        <w:rPr>
          <w:rFonts w:ascii="Tahoma" w:hAnsi="Tahoma" w:cs="Tahoma"/>
        </w:rPr>
        <w:t>ή ορίζεται</w:t>
      </w:r>
      <w:r w:rsidR="007E18BF">
        <w:rPr>
          <w:rFonts w:ascii="Tahoma" w:hAnsi="Tahoma" w:cs="Tahoma"/>
        </w:rPr>
        <w:t xml:space="preserve"> </w:t>
      </w:r>
      <w:r w:rsidR="007E18BF" w:rsidRPr="007E18BF">
        <w:rPr>
          <w:rFonts w:ascii="Tahoma" w:hAnsi="Tahoma" w:cs="Tahoma"/>
        </w:rPr>
        <w:t xml:space="preserve"> </w:t>
      </w:r>
      <w:r w:rsidR="0071180A">
        <w:rPr>
          <w:rFonts w:ascii="Tahoma" w:hAnsi="Tahoma" w:cs="Tahoma"/>
        </w:rPr>
        <w:t xml:space="preserve">με δικαστικές αποφάσεις  </w:t>
      </w:r>
      <w:r w:rsidR="007E18BF" w:rsidRPr="007E18BF">
        <w:rPr>
          <w:rFonts w:ascii="Tahoma" w:hAnsi="Tahoma" w:cs="Tahoma"/>
        </w:rPr>
        <w:t>δυνάμει του άρθρου 9 παρ. 2 του ν. 3869/2010</w:t>
      </w:r>
      <w:r w:rsidR="007E18BF">
        <w:rPr>
          <w:rFonts w:ascii="Tahoma" w:hAnsi="Tahoma" w:cs="Tahoma"/>
        </w:rPr>
        <w:t xml:space="preserve"> δεν μπορεί να υπερβαίνει το δύο τοις εκατό (2%).  Το προηγούμενο εδάφιο εφαρμόζεται </w:t>
      </w:r>
      <w:r w:rsidR="00AA5DDA">
        <w:rPr>
          <w:rFonts w:ascii="Tahoma" w:hAnsi="Tahoma" w:cs="Tahoma"/>
        </w:rPr>
        <w:t xml:space="preserve">και </w:t>
      </w:r>
      <w:r w:rsidR="007E18BF">
        <w:rPr>
          <w:rFonts w:ascii="Tahoma" w:hAnsi="Tahoma" w:cs="Tahoma"/>
        </w:rPr>
        <w:t xml:space="preserve">για τις  δόσεις της ρύθμισης που ήταν καταβλητέες από 1.1.2023 και εφεξής. Τα καταβληθέντα πέραν του ύψους αυτού ποσά συμψηφίζονται με τις αμέσως προσεχείς δόσεις. Καταγγελίες της ρύθμισης </w:t>
      </w:r>
      <w:r w:rsidR="00717AE1">
        <w:rPr>
          <w:rFonts w:ascii="Tahoma" w:hAnsi="Tahoma" w:cs="Tahoma"/>
        </w:rPr>
        <w:t xml:space="preserve">για την προστασία της κύριας κατοικίας εξαιτίας </w:t>
      </w:r>
      <w:r w:rsidR="007E18BF">
        <w:rPr>
          <w:rFonts w:ascii="Tahoma" w:hAnsi="Tahoma" w:cs="Tahoma"/>
        </w:rPr>
        <w:t xml:space="preserve"> μη </w:t>
      </w:r>
      <w:proofErr w:type="spellStart"/>
      <w:r w:rsidR="007E18BF">
        <w:rPr>
          <w:rFonts w:ascii="Tahoma" w:hAnsi="Tahoma" w:cs="Tahoma"/>
        </w:rPr>
        <w:t>οφειλομένων</w:t>
      </w:r>
      <w:proofErr w:type="spellEnd"/>
      <w:r w:rsidR="007E18BF">
        <w:rPr>
          <w:rFonts w:ascii="Tahoma" w:hAnsi="Tahoma" w:cs="Tahoma"/>
        </w:rPr>
        <w:t xml:space="preserve"> με βάση το πρώτο εδάφιο   </w:t>
      </w:r>
      <w:r w:rsidR="00717AE1">
        <w:rPr>
          <w:rFonts w:ascii="Tahoma" w:hAnsi="Tahoma" w:cs="Tahoma"/>
        </w:rPr>
        <w:t>ποσών είναι ανίσχυρες</w:t>
      </w:r>
      <w:r>
        <w:rPr>
          <w:rFonts w:ascii="Tahoma" w:hAnsi="Tahoma" w:cs="Tahoma"/>
        </w:rPr>
        <w:t>»</w:t>
      </w:r>
      <w:r w:rsidR="00717AE1">
        <w:rPr>
          <w:rFonts w:ascii="Tahoma" w:hAnsi="Tahoma" w:cs="Tahoma"/>
        </w:rPr>
        <w:t xml:space="preserve">. </w:t>
      </w:r>
    </w:p>
    <w:p w14:paraId="4E25C7EE" w14:textId="77777777" w:rsidR="00A22DC9" w:rsidRPr="00AF4FB1" w:rsidRDefault="00A22DC9" w:rsidP="00AF4FB1">
      <w:pPr>
        <w:ind w:left="142" w:right="-58"/>
        <w:jc w:val="center"/>
        <w:rPr>
          <w:rFonts w:ascii="Tahoma" w:hAnsi="Tahoma" w:cs="Tahoma"/>
        </w:rPr>
      </w:pPr>
    </w:p>
    <w:p w14:paraId="69736BCB" w14:textId="77777777" w:rsidR="00627892" w:rsidRPr="00627892" w:rsidRDefault="00627892" w:rsidP="00627892">
      <w:pPr>
        <w:spacing w:after="0" w:line="360" w:lineRule="auto"/>
        <w:jc w:val="center"/>
        <w:rPr>
          <w:rFonts w:ascii="Tahoma" w:hAnsi="Tahoma" w:cs="Tahoma"/>
          <w:b/>
        </w:rPr>
      </w:pPr>
      <w:r w:rsidRPr="00627892">
        <w:rPr>
          <w:rFonts w:ascii="Tahoma" w:hAnsi="Tahoma" w:cs="Tahoma"/>
          <w:b/>
        </w:rPr>
        <w:t xml:space="preserve">Οι </w:t>
      </w:r>
      <w:proofErr w:type="spellStart"/>
      <w:r w:rsidRPr="00627892">
        <w:rPr>
          <w:rFonts w:ascii="Tahoma" w:hAnsi="Tahoma" w:cs="Tahoma"/>
          <w:b/>
        </w:rPr>
        <w:t>προτείνοντες</w:t>
      </w:r>
      <w:proofErr w:type="spellEnd"/>
      <w:r w:rsidRPr="00627892">
        <w:rPr>
          <w:rFonts w:ascii="Tahoma" w:hAnsi="Tahoma" w:cs="Tahoma"/>
          <w:b/>
        </w:rPr>
        <w:t xml:space="preserve"> Βουλευτές</w:t>
      </w:r>
    </w:p>
    <w:p w14:paraId="7F3AFBC1" w14:textId="7CFA02A5" w:rsidR="00C610AC" w:rsidRPr="00AF4FB1" w:rsidRDefault="00C610AC" w:rsidP="002B57CB">
      <w:pPr>
        <w:pStyle w:val="1"/>
        <w:shd w:val="clear" w:color="auto" w:fill="auto"/>
        <w:spacing w:before="0" w:after="0" w:line="276" w:lineRule="auto"/>
        <w:ind w:left="142" w:right="-58" w:firstLine="0"/>
        <w:jc w:val="both"/>
      </w:pPr>
    </w:p>
    <w:p w14:paraId="676AFE22" w14:textId="77777777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  <w:r w:rsidRPr="00001F44">
        <w:rPr>
          <w:rFonts w:ascii="Tahoma" w:eastAsia="Arial" w:hAnsi="Tahoma" w:cs="Tahoma"/>
          <w:b/>
          <w:bCs/>
          <w:lang w:eastAsia="el-GR"/>
        </w:rPr>
        <w:t>Κουκουλόπουλος Παρασκευάς (Πάρις)</w:t>
      </w:r>
    </w:p>
    <w:p w14:paraId="4283E63C" w14:textId="77777777" w:rsidR="008327D7" w:rsidRDefault="008327D7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</w:p>
    <w:p w14:paraId="4DD5B86B" w14:textId="3E5FDE0D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  <w:r w:rsidRPr="00001F44">
        <w:rPr>
          <w:rFonts w:ascii="Tahoma" w:eastAsia="Arial" w:hAnsi="Tahoma" w:cs="Tahoma"/>
          <w:b/>
          <w:bCs/>
          <w:lang w:eastAsia="el-GR"/>
        </w:rPr>
        <w:t xml:space="preserve">Αποστολάκη </w:t>
      </w:r>
      <w:r w:rsidR="00243156">
        <w:rPr>
          <w:rFonts w:ascii="Tahoma" w:eastAsia="Arial" w:hAnsi="Tahoma" w:cs="Tahoma"/>
          <w:b/>
          <w:bCs/>
          <w:lang w:eastAsia="el-GR"/>
        </w:rPr>
        <w:t>Ελένη</w:t>
      </w:r>
      <w:r w:rsidRPr="00001F44">
        <w:rPr>
          <w:rFonts w:ascii="Tahoma" w:eastAsia="Arial" w:hAnsi="Tahoma" w:cs="Tahoma"/>
          <w:b/>
          <w:bCs/>
          <w:lang w:eastAsia="el-GR"/>
        </w:rPr>
        <w:t xml:space="preserve"> – Μαρία (Μιλένα)</w:t>
      </w:r>
    </w:p>
    <w:p w14:paraId="1B10CCB2" w14:textId="2BF889E8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  <w:bookmarkStart w:id="0" w:name="_GoBack"/>
      <w:bookmarkEnd w:id="0"/>
    </w:p>
    <w:p w14:paraId="6E898AC0" w14:textId="77777777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  <w:r w:rsidRPr="00001F44">
        <w:rPr>
          <w:rFonts w:ascii="Tahoma" w:eastAsia="Arial" w:hAnsi="Tahoma" w:cs="Tahoma"/>
          <w:b/>
          <w:bCs/>
          <w:lang w:eastAsia="el-GR"/>
        </w:rPr>
        <w:t>Βατσινά Ελένη</w:t>
      </w:r>
    </w:p>
    <w:p w14:paraId="2D9CC988" w14:textId="27D90983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</w:p>
    <w:p w14:paraId="72EC41E4" w14:textId="77777777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  <w:r w:rsidRPr="00001F44">
        <w:rPr>
          <w:rFonts w:ascii="Tahoma" w:eastAsia="Arial" w:hAnsi="Tahoma" w:cs="Tahoma"/>
          <w:b/>
          <w:bCs/>
          <w:lang w:eastAsia="el-GR"/>
        </w:rPr>
        <w:t>Γερουλάνος Παύλος</w:t>
      </w:r>
    </w:p>
    <w:p w14:paraId="6CA8BFB6" w14:textId="0B3A82B4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</w:p>
    <w:p w14:paraId="20CF9AEF" w14:textId="77777777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  <w:r w:rsidRPr="00001F44">
        <w:rPr>
          <w:rFonts w:ascii="Tahoma" w:eastAsia="Arial" w:hAnsi="Tahoma" w:cs="Tahoma"/>
          <w:b/>
          <w:bCs/>
          <w:lang w:eastAsia="el-GR"/>
        </w:rPr>
        <w:t>Κατρίνης Μιχαήλ</w:t>
      </w:r>
    </w:p>
    <w:p w14:paraId="5777995E" w14:textId="6B1AA3E5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</w:p>
    <w:p w14:paraId="22437D1F" w14:textId="77777777" w:rsidR="00001F44" w:rsidRPr="00001F44" w:rsidRDefault="00001F44" w:rsidP="00243156">
      <w:pPr>
        <w:tabs>
          <w:tab w:val="left" w:pos="567"/>
          <w:tab w:val="left" w:pos="1134"/>
          <w:tab w:val="left" w:pos="1701"/>
        </w:tabs>
        <w:spacing w:after="0" w:line="480" w:lineRule="auto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  <w:r w:rsidRPr="00001F44">
        <w:rPr>
          <w:rFonts w:ascii="Tahoma" w:eastAsia="Arial" w:hAnsi="Tahoma" w:cs="Tahoma"/>
          <w:b/>
          <w:bCs/>
          <w:lang w:eastAsia="el-GR"/>
        </w:rPr>
        <w:t>Σταρακά Χριστίνα</w:t>
      </w:r>
    </w:p>
    <w:p w14:paraId="1223DD2A" w14:textId="55899A25" w:rsidR="00001F44" w:rsidRPr="00001F44" w:rsidRDefault="00001F44" w:rsidP="008327D7">
      <w:pPr>
        <w:tabs>
          <w:tab w:val="left" w:pos="567"/>
          <w:tab w:val="left" w:pos="1134"/>
          <w:tab w:val="left" w:pos="1701"/>
        </w:tabs>
        <w:spacing w:after="0"/>
        <w:contextualSpacing/>
        <w:jc w:val="center"/>
        <w:rPr>
          <w:rFonts w:ascii="Tahoma" w:eastAsia="Arial" w:hAnsi="Tahoma" w:cs="Tahoma"/>
          <w:b/>
          <w:bCs/>
          <w:lang w:eastAsia="el-GR"/>
        </w:rPr>
      </w:pPr>
    </w:p>
    <w:p w14:paraId="0EA594ED" w14:textId="77777777" w:rsidR="00E331E4" w:rsidRPr="00AF4FB1" w:rsidRDefault="00E331E4" w:rsidP="00001F44">
      <w:pPr>
        <w:ind w:left="142" w:right="-58"/>
        <w:jc w:val="center"/>
        <w:rPr>
          <w:rFonts w:ascii="Tahoma" w:hAnsi="Tahoma" w:cs="Tahoma"/>
        </w:rPr>
      </w:pPr>
    </w:p>
    <w:sectPr w:rsidR="00E331E4" w:rsidRPr="00AF4FB1" w:rsidSect="00001F44">
      <w:footerReference w:type="default" r:id="rId9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EBDFD" w14:textId="77777777" w:rsidR="00D1707E" w:rsidRDefault="00D1707E" w:rsidP="00AF4FB1">
      <w:pPr>
        <w:spacing w:after="0" w:line="240" w:lineRule="auto"/>
      </w:pPr>
      <w:r>
        <w:separator/>
      </w:r>
    </w:p>
  </w:endnote>
  <w:endnote w:type="continuationSeparator" w:id="0">
    <w:p w14:paraId="65642A8E" w14:textId="77777777" w:rsidR="00D1707E" w:rsidRDefault="00D1707E" w:rsidP="00AF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111832"/>
      <w:docPartObj>
        <w:docPartGallery w:val="Page Numbers (Bottom of Page)"/>
        <w:docPartUnique/>
      </w:docPartObj>
    </w:sdtPr>
    <w:sdtEndPr/>
    <w:sdtContent>
      <w:p w14:paraId="469CEA53" w14:textId="557EA1F6" w:rsidR="00AF4FB1" w:rsidRDefault="00AF4F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56">
          <w:rPr>
            <w:noProof/>
          </w:rPr>
          <w:t>1</w:t>
        </w:r>
        <w:r>
          <w:fldChar w:fldCharType="end"/>
        </w:r>
      </w:p>
    </w:sdtContent>
  </w:sdt>
  <w:p w14:paraId="05BCF7D8" w14:textId="77777777" w:rsidR="00AF4FB1" w:rsidRDefault="00AF4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DDDD" w14:textId="77777777" w:rsidR="00D1707E" w:rsidRDefault="00D1707E" w:rsidP="00AF4FB1">
      <w:pPr>
        <w:spacing w:after="0" w:line="240" w:lineRule="auto"/>
      </w:pPr>
      <w:r>
        <w:separator/>
      </w:r>
    </w:p>
  </w:footnote>
  <w:footnote w:type="continuationSeparator" w:id="0">
    <w:p w14:paraId="6302386A" w14:textId="77777777" w:rsidR="00D1707E" w:rsidRDefault="00D1707E" w:rsidP="00AF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0C16"/>
    <w:multiLevelType w:val="hybridMultilevel"/>
    <w:tmpl w:val="3404C59A"/>
    <w:lvl w:ilvl="0" w:tplc="2976E0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A0B4E"/>
    <w:multiLevelType w:val="multilevel"/>
    <w:tmpl w:val="A1223566"/>
    <w:lvl w:ilvl="0">
      <w:numFmt w:val="decimal"/>
      <w:lvlText w:val="(40.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F45069"/>
    <w:multiLevelType w:val="hybridMultilevel"/>
    <w:tmpl w:val="0F8266FC"/>
    <w:lvl w:ilvl="0" w:tplc="6CA6B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895DD1"/>
    <w:multiLevelType w:val="hybridMultilevel"/>
    <w:tmpl w:val="3404C59A"/>
    <w:lvl w:ilvl="0" w:tplc="2976E0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27824"/>
    <w:multiLevelType w:val="multilevel"/>
    <w:tmpl w:val="7EB0C6E0"/>
    <w:lvl w:ilvl="0">
      <w:numFmt w:val="decimal"/>
      <w:lvlText w:val="(120.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72"/>
    <w:rsid w:val="00001F44"/>
    <w:rsid w:val="00002085"/>
    <w:rsid w:val="0001423D"/>
    <w:rsid w:val="00030AAC"/>
    <w:rsid w:val="00077D5E"/>
    <w:rsid w:val="00081E07"/>
    <w:rsid w:val="000B25DE"/>
    <w:rsid w:val="001001DE"/>
    <w:rsid w:val="00125D8D"/>
    <w:rsid w:val="00126889"/>
    <w:rsid w:val="00126939"/>
    <w:rsid w:val="00145D64"/>
    <w:rsid w:val="0015674E"/>
    <w:rsid w:val="00167101"/>
    <w:rsid w:val="00174910"/>
    <w:rsid w:val="001A6A68"/>
    <w:rsid w:val="001C2C3F"/>
    <w:rsid w:val="001C5C42"/>
    <w:rsid w:val="001E31A3"/>
    <w:rsid w:val="00207D63"/>
    <w:rsid w:val="0022116A"/>
    <w:rsid w:val="00243156"/>
    <w:rsid w:val="00245089"/>
    <w:rsid w:val="002545B0"/>
    <w:rsid w:val="002657C6"/>
    <w:rsid w:val="00273656"/>
    <w:rsid w:val="002901D6"/>
    <w:rsid w:val="00291981"/>
    <w:rsid w:val="002A094F"/>
    <w:rsid w:val="002A2243"/>
    <w:rsid w:val="002A3AFF"/>
    <w:rsid w:val="002A3BDA"/>
    <w:rsid w:val="002A469C"/>
    <w:rsid w:val="002A7D1A"/>
    <w:rsid w:val="002B57CB"/>
    <w:rsid w:val="002E6042"/>
    <w:rsid w:val="002F2C90"/>
    <w:rsid w:val="003014BB"/>
    <w:rsid w:val="0035299D"/>
    <w:rsid w:val="00371183"/>
    <w:rsid w:val="003921ED"/>
    <w:rsid w:val="003974E7"/>
    <w:rsid w:val="003A42F6"/>
    <w:rsid w:val="003D2469"/>
    <w:rsid w:val="003D7255"/>
    <w:rsid w:val="00400363"/>
    <w:rsid w:val="004050A1"/>
    <w:rsid w:val="00430B69"/>
    <w:rsid w:val="0044267B"/>
    <w:rsid w:val="00473B17"/>
    <w:rsid w:val="004A1778"/>
    <w:rsid w:val="004B5058"/>
    <w:rsid w:val="004C17D4"/>
    <w:rsid w:val="004F3D3E"/>
    <w:rsid w:val="00521ED6"/>
    <w:rsid w:val="00543E14"/>
    <w:rsid w:val="00545072"/>
    <w:rsid w:val="00586DEC"/>
    <w:rsid w:val="0059044B"/>
    <w:rsid w:val="005A0B6C"/>
    <w:rsid w:val="005A4F6B"/>
    <w:rsid w:val="005D010B"/>
    <w:rsid w:val="005D2A7B"/>
    <w:rsid w:val="005D35FF"/>
    <w:rsid w:val="00601EAA"/>
    <w:rsid w:val="00603CE7"/>
    <w:rsid w:val="00627892"/>
    <w:rsid w:val="00630860"/>
    <w:rsid w:val="00634B83"/>
    <w:rsid w:val="006A056E"/>
    <w:rsid w:val="006D6265"/>
    <w:rsid w:val="006E7058"/>
    <w:rsid w:val="0071180A"/>
    <w:rsid w:val="00716E9A"/>
    <w:rsid w:val="00717AE1"/>
    <w:rsid w:val="00727589"/>
    <w:rsid w:val="007568C6"/>
    <w:rsid w:val="00773000"/>
    <w:rsid w:val="00793259"/>
    <w:rsid w:val="007A3A8F"/>
    <w:rsid w:val="007C72B4"/>
    <w:rsid w:val="007D254E"/>
    <w:rsid w:val="007E18BF"/>
    <w:rsid w:val="0081707F"/>
    <w:rsid w:val="008327D7"/>
    <w:rsid w:val="00846F83"/>
    <w:rsid w:val="00853D6A"/>
    <w:rsid w:val="00874597"/>
    <w:rsid w:val="008820CE"/>
    <w:rsid w:val="0089153C"/>
    <w:rsid w:val="008A0F20"/>
    <w:rsid w:val="008C2DB2"/>
    <w:rsid w:val="008C32B7"/>
    <w:rsid w:val="008D11FB"/>
    <w:rsid w:val="008D6E28"/>
    <w:rsid w:val="008E5A37"/>
    <w:rsid w:val="008E70D6"/>
    <w:rsid w:val="008F0B6A"/>
    <w:rsid w:val="008F5B6C"/>
    <w:rsid w:val="009000DB"/>
    <w:rsid w:val="0091654E"/>
    <w:rsid w:val="009204E5"/>
    <w:rsid w:val="009277DA"/>
    <w:rsid w:val="00933F40"/>
    <w:rsid w:val="009370F3"/>
    <w:rsid w:val="009371E0"/>
    <w:rsid w:val="009500A7"/>
    <w:rsid w:val="00971A52"/>
    <w:rsid w:val="00984564"/>
    <w:rsid w:val="009A76D0"/>
    <w:rsid w:val="009C307A"/>
    <w:rsid w:val="009C6464"/>
    <w:rsid w:val="009E45F1"/>
    <w:rsid w:val="00A12E63"/>
    <w:rsid w:val="00A22DC9"/>
    <w:rsid w:val="00A24D10"/>
    <w:rsid w:val="00A274D3"/>
    <w:rsid w:val="00A3048D"/>
    <w:rsid w:val="00A324D4"/>
    <w:rsid w:val="00A53503"/>
    <w:rsid w:val="00A57BA1"/>
    <w:rsid w:val="00A616DB"/>
    <w:rsid w:val="00A655E2"/>
    <w:rsid w:val="00A82E14"/>
    <w:rsid w:val="00AA5DDA"/>
    <w:rsid w:val="00AF4FB1"/>
    <w:rsid w:val="00B20516"/>
    <w:rsid w:val="00B217AC"/>
    <w:rsid w:val="00B3210F"/>
    <w:rsid w:val="00B403DF"/>
    <w:rsid w:val="00B5778C"/>
    <w:rsid w:val="00B61374"/>
    <w:rsid w:val="00B75038"/>
    <w:rsid w:val="00B84270"/>
    <w:rsid w:val="00B9513F"/>
    <w:rsid w:val="00BA3052"/>
    <w:rsid w:val="00BA32AC"/>
    <w:rsid w:val="00BB63C5"/>
    <w:rsid w:val="00BC2169"/>
    <w:rsid w:val="00BD1708"/>
    <w:rsid w:val="00C103BD"/>
    <w:rsid w:val="00C22423"/>
    <w:rsid w:val="00C3602F"/>
    <w:rsid w:val="00C610AC"/>
    <w:rsid w:val="00C65AD8"/>
    <w:rsid w:val="00C664C8"/>
    <w:rsid w:val="00C80539"/>
    <w:rsid w:val="00CD3517"/>
    <w:rsid w:val="00D1707E"/>
    <w:rsid w:val="00D25DE4"/>
    <w:rsid w:val="00D90583"/>
    <w:rsid w:val="00D963B9"/>
    <w:rsid w:val="00DB7052"/>
    <w:rsid w:val="00E331E4"/>
    <w:rsid w:val="00EA2318"/>
    <w:rsid w:val="00EC031B"/>
    <w:rsid w:val="00F307A5"/>
    <w:rsid w:val="00F62A46"/>
    <w:rsid w:val="00F63732"/>
    <w:rsid w:val="00F6434E"/>
    <w:rsid w:val="00FB60FB"/>
    <w:rsid w:val="00FE0AC5"/>
    <w:rsid w:val="00FE42EC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B86E"/>
  <w15:docId w15:val="{E844716D-8090-4CDF-B7E7-D0DD031A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68"/>
  </w:style>
  <w:style w:type="paragraph" w:styleId="3">
    <w:name w:val="heading 3"/>
    <w:basedOn w:val="a"/>
    <w:next w:val="a"/>
    <w:link w:val="3Char"/>
    <w:uiPriority w:val="9"/>
    <w:unhideWhenUsed/>
    <w:qFormat/>
    <w:rsid w:val="00E331E4"/>
    <w:pPr>
      <w:jc w:val="both"/>
      <w:outlineLvl w:val="2"/>
    </w:pPr>
    <w:rPr>
      <w:rFonts w:cs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B0"/>
    <w:pPr>
      <w:ind w:left="720"/>
      <w:contextualSpacing/>
    </w:pPr>
  </w:style>
  <w:style w:type="character" w:customStyle="1" w:styleId="a4">
    <w:name w:val="Σώμα κειμένου_"/>
    <w:basedOn w:val="a0"/>
    <w:link w:val="1"/>
    <w:rsid w:val="002F2C90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">
    <w:name w:val="Σώμα κειμένου1"/>
    <w:basedOn w:val="a"/>
    <w:link w:val="a4"/>
    <w:rsid w:val="002F2C90"/>
    <w:pPr>
      <w:widowControl w:val="0"/>
      <w:shd w:val="clear" w:color="auto" w:fill="FFFFFF"/>
      <w:spacing w:before="1200" w:after="240" w:line="0" w:lineRule="atLeast"/>
      <w:ind w:hanging="420"/>
    </w:pPr>
    <w:rPr>
      <w:rFonts w:ascii="Tahoma" w:eastAsia="Tahoma" w:hAnsi="Tahoma" w:cs="Tahoma"/>
      <w:sz w:val="18"/>
      <w:szCs w:val="18"/>
    </w:rPr>
  </w:style>
  <w:style w:type="character" w:customStyle="1" w:styleId="2">
    <w:name w:val="Σώμα κειμένου (2)"/>
    <w:basedOn w:val="a0"/>
    <w:rsid w:val="002A7D1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3Char">
    <w:name w:val="Επικεφαλίδα 3 Char"/>
    <w:basedOn w:val="a0"/>
    <w:link w:val="3"/>
    <w:uiPriority w:val="9"/>
    <w:rsid w:val="00E331E4"/>
    <w:rPr>
      <w:rFonts w:cstheme="minorHAnsi"/>
      <w:b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F4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F4FB1"/>
  </w:style>
  <w:style w:type="paragraph" w:styleId="a6">
    <w:name w:val="footer"/>
    <w:basedOn w:val="a"/>
    <w:link w:val="Char0"/>
    <w:uiPriority w:val="99"/>
    <w:unhideWhenUsed/>
    <w:rsid w:val="00AF4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F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99FF-5736-4558-80DE-1C485B4D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Χωριανοπούλου Μαρία</cp:lastModifiedBy>
  <cp:revision>10</cp:revision>
  <cp:lastPrinted>2024-04-15T08:30:00Z</cp:lastPrinted>
  <dcterms:created xsi:type="dcterms:W3CDTF">2024-04-16T13:31:00Z</dcterms:created>
  <dcterms:modified xsi:type="dcterms:W3CDTF">2024-04-16T15:41:00Z</dcterms:modified>
</cp:coreProperties>
</file>